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67" w:rsidRPr="007D1DC6" w:rsidRDefault="007D1DC6" w:rsidP="00FB4C08">
      <w:pPr>
        <w:spacing w:after="0" w:line="240" w:lineRule="auto"/>
        <w:jc w:val="center"/>
        <w:rPr>
          <w:b/>
          <w:sz w:val="24"/>
          <w:szCs w:val="24"/>
        </w:rPr>
      </w:pPr>
      <w:r w:rsidRPr="007D1DC6">
        <w:rPr>
          <w:b/>
          <w:sz w:val="24"/>
          <w:szCs w:val="24"/>
        </w:rPr>
        <w:t>BAB VII</w:t>
      </w:r>
    </w:p>
    <w:p w:rsidR="007D1DC6" w:rsidRDefault="007D1DC6" w:rsidP="00FB4C08">
      <w:pPr>
        <w:spacing w:after="0" w:line="240" w:lineRule="auto"/>
        <w:jc w:val="center"/>
        <w:rPr>
          <w:b/>
          <w:sz w:val="24"/>
          <w:szCs w:val="24"/>
        </w:rPr>
      </w:pPr>
      <w:r w:rsidRPr="007D1DC6">
        <w:rPr>
          <w:b/>
          <w:sz w:val="24"/>
          <w:szCs w:val="24"/>
        </w:rPr>
        <w:t>KINERJA PENYELENGGARAAN BIDANG URUSAN</w:t>
      </w:r>
    </w:p>
    <w:p w:rsidR="00FB4C08" w:rsidRDefault="00FB4C08" w:rsidP="00FB4C08">
      <w:pPr>
        <w:spacing w:after="0" w:line="240" w:lineRule="auto"/>
        <w:jc w:val="center"/>
        <w:rPr>
          <w:b/>
          <w:sz w:val="24"/>
          <w:szCs w:val="24"/>
        </w:rPr>
      </w:pPr>
    </w:p>
    <w:p w:rsidR="00091859" w:rsidRPr="00F05201" w:rsidRDefault="001105F3" w:rsidP="00091859">
      <w:pPr>
        <w:snapToGrid w:val="0"/>
        <w:spacing w:after="0"/>
        <w:ind w:firstLine="709"/>
        <w:jc w:val="both"/>
        <w:rPr>
          <w:rStyle w:val="Bodytext95"/>
          <w:rFonts w:asciiTheme="minorHAnsi" w:hAnsiTheme="minorHAnsi" w:cstheme="minorHAnsi"/>
          <w:sz w:val="24"/>
          <w:szCs w:val="24"/>
          <w:lang w:eastAsia="id-ID"/>
        </w:rPr>
      </w:pPr>
      <w:r w:rsidRPr="001105F3">
        <w:rPr>
          <w:sz w:val="24"/>
          <w:szCs w:val="24"/>
        </w:rPr>
        <w:t>I</w:t>
      </w:r>
      <w:r>
        <w:rPr>
          <w:sz w:val="24"/>
          <w:szCs w:val="24"/>
        </w:rPr>
        <w:t>ndik</w:t>
      </w:r>
      <w:r w:rsidRPr="001105F3">
        <w:rPr>
          <w:sz w:val="24"/>
          <w:szCs w:val="24"/>
        </w:rPr>
        <w:t xml:space="preserve">ator kinerja </w:t>
      </w:r>
      <w:r>
        <w:rPr>
          <w:sz w:val="24"/>
          <w:szCs w:val="24"/>
        </w:rPr>
        <w:t xml:space="preserve">merupakan sebuah ukuran yang harus ditentukan oleh setiap perangkat Daerah dalam lima Tahun mendatang sebagai komitmen untuk mendukung pencapaian tujuan dan sadaran RPJMD. 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eastAsia="id-ID"/>
        </w:rPr>
        <w:t xml:space="preserve">Penetapan indikator kinerja Satpol PP 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val="id-ID" w:eastAsia="id-ID"/>
        </w:rPr>
        <w:t>Kabupaten Sumbawa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eastAsia="id-ID"/>
        </w:rPr>
        <w:t xml:space="preserve"> bertujuan untuk memberikan gambaran mengenai ukuran keberh</w:t>
      </w:r>
      <w:r w:rsidR="00091859">
        <w:rPr>
          <w:rStyle w:val="Bodytext95"/>
          <w:rFonts w:asciiTheme="minorHAnsi" w:hAnsiTheme="minorHAnsi" w:cstheme="minorHAnsi"/>
          <w:sz w:val="24"/>
          <w:szCs w:val="24"/>
          <w:lang w:eastAsia="id-ID"/>
        </w:rPr>
        <w:t>asilan pencapaian visi dan misi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eastAsia="id-ID"/>
        </w:rPr>
        <w:t xml:space="preserve"> Daerah, untuk itu 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val="id-ID" w:eastAsia="id-ID"/>
        </w:rPr>
        <w:t>tugas pokok dan fungsi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eastAsia="id-ID"/>
        </w:rPr>
        <w:t xml:space="preserve"> Satpol PP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val="id-ID" w:eastAsia="id-ID"/>
        </w:rPr>
        <w:t xml:space="preserve"> dalam penyelenggaraan urusan 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eastAsia="id-ID"/>
        </w:rPr>
        <w:t xml:space="preserve">ketertiban umum, ketentraman dan perlindungan masyarakat guna melancarkan 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val="id-ID" w:eastAsia="id-ID"/>
        </w:rPr>
        <w:t xml:space="preserve">pemerintahan 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eastAsia="id-ID"/>
        </w:rPr>
        <w:t>pada akhir periode masa Renstra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val="id-ID" w:eastAsia="id-ID"/>
        </w:rPr>
        <w:t xml:space="preserve"> 2016-2021. 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eastAsia="id-ID"/>
        </w:rPr>
        <w:t>Hal ini ditunjuk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val="id-ID" w:eastAsia="id-ID"/>
        </w:rPr>
        <w:t>k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eastAsia="id-ID"/>
        </w:rPr>
        <w:t>an dari pencapaian indikator</w:t>
      </w:r>
      <w:r w:rsidR="00091859" w:rsidRPr="00F05201">
        <w:rPr>
          <w:rStyle w:val="Bodytext9Italic"/>
          <w:rFonts w:asciiTheme="minorHAnsi" w:hAnsiTheme="minorHAnsi" w:cstheme="minorHAnsi"/>
          <w:sz w:val="24"/>
          <w:szCs w:val="24"/>
          <w:lang w:eastAsia="id-ID"/>
        </w:rPr>
        <w:t xml:space="preserve"> outcome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eastAsia="id-ID"/>
        </w:rPr>
        <w:t xml:space="preserve"> dari setiap program dan kegiatan pembangunan daerah setiap tahun atau indikator capaian yang bersifat mandiri setiap tahun sehingga kondisi kinerja yang diinginkan pada akhir periode Renstra Satpol PP 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val="id-ID" w:eastAsia="id-ID"/>
        </w:rPr>
        <w:t>Kabupaten Sumbawa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eastAsia="id-ID"/>
        </w:rPr>
        <w:t xml:space="preserve"> dapat dicapai</w:t>
      </w:r>
      <w:r w:rsidR="00091859" w:rsidRPr="00F05201">
        <w:rPr>
          <w:rStyle w:val="Bodytext95"/>
          <w:rFonts w:asciiTheme="minorHAnsi" w:hAnsiTheme="minorHAnsi" w:cstheme="minorHAnsi"/>
          <w:sz w:val="24"/>
          <w:szCs w:val="24"/>
          <w:lang w:val="id-ID" w:eastAsia="id-ID"/>
        </w:rPr>
        <w:t>.</w:t>
      </w:r>
    </w:p>
    <w:p w:rsidR="00091859" w:rsidRPr="00F05201" w:rsidRDefault="00091859" w:rsidP="00091859">
      <w:pPr>
        <w:snapToGrid w:val="0"/>
        <w:spacing w:after="0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</w:rPr>
        <w:t xml:space="preserve">Program dan kegiatan serta yang menjadi </w:t>
      </w:r>
      <w:r w:rsidRPr="00F05201">
        <w:rPr>
          <w:rFonts w:cstheme="minorHAnsi"/>
          <w:sz w:val="24"/>
          <w:szCs w:val="24"/>
          <w:lang w:val="id-ID"/>
        </w:rPr>
        <w:t xml:space="preserve">Indiktor kinerja </w:t>
      </w:r>
      <w:r w:rsidRPr="00F05201">
        <w:rPr>
          <w:rFonts w:cstheme="minorHAnsi"/>
          <w:sz w:val="24"/>
          <w:szCs w:val="24"/>
        </w:rPr>
        <w:t>Satpol PP</w:t>
      </w:r>
      <w:r w:rsidRPr="00F05201">
        <w:rPr>
          <w:rFonts w:cstheme="minorHAnsi"/>
          <w:sz w:val="24"/>
          <w:szCs w:val="24"/>
          <w:lang w:val="id-ID"/>
        </w:rPr>
        <w:t xml:space="preserve"> fokus </w:t>
      </w:r>
      <w:r w:rsidRPr="00F05201">
        <w:rPr>
          <w:rFonts w:cstheme="minorHAnsi"/>
          <w:sz w:val="24"/>
          <w:szCs w:val="24"/>
        </w:rPr>
        <w:t xml:space="preserve">pada </w:t>
      </w:r>
      <w:r w:rsidRPr="00F05201">
        <w:rPr>
          <w:rFonts w:cstheme="minorHAnsi"/>
          <w:sz w:val="24"/>
          <w:szCs w:val="24"/>
          <w:lang w:val="id-ID"/>
        </w:rPr>
        <w:t>layanan urusan pilihan yang mengacu pada tujuan dan sasaran RPJMD adalah sebagai berikut:</w:t>
      </w:r>
    </w:p>
    <w:p w:rsidR="00091859" w:rsidRPr="00F05201" w:rsidRDefault="00091859" w:rsidP="00091859">
      <w:pPr>
        <w:pStyle w:val="ListParagraph"/>
        <w:numPr>
          <w:ilvl w:val="0"/>
          <w:numId w:val="1"/>
        </w:numPr>
        <w:snapToGrid w:val="0"/>
        <w:spacing w:after="0"/>
        <w:ind w:left="426" w:hanging="426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  <w:lang w:val="id-ID"/>
        </w:rPr>
        <w:t>Program pelayanan administrasi perkantoran, dengan indikator kinerja:</w:t>
      </w:r>
    </w:p>
    <w:p w:rsidR="00091859" w:rsidRPr="00F05201" w:rsidRDefault="00091859" w:rsidP="00091859">
      <w:pPr>
        <w:pStyle w:val="ListParagraph"/>
        <w:numPr>
          <w:ilvl w:val="1"/>
          <w:numId w:val="1"/>
        </w:numPr>
        <w:snapToGrid w:val="0"/>
        <w:spacing w:after="0"/>
        <w:ind w:left="709" w:hanging="283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  <w:lang w:val="id-ID"/>
        </w:rPr>
        <w:t>Cakupan pelayanan administrasi perkantoran yang terselesaikan (%)</w:t>
      </w:r>
    </w:p>
    <w:p w:rsidR="00091859" w:rsidRPr="00F05201" w:rsidRDefault="00091859" w:rsidP="00091859">
      <w:pPr>
        <w:pStyle w:val="ListParagraph"/>
        <w:numPr>
          <w:ilvl w:val="0"/>
          <w:numId w:val="1"/>
        </w:numPr>
        <w:snapToGrid w:val="0"/>
        <w:spacing w:after="0"/>
        <w:ind w:left="426" w:hanging="426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  <w:lang w:val="id-ID"/>
        </w:rPr>
        <w:t>Program peningkatan sarana dan prasarana aparatur, dengan indikator kinerja:</w:t>
      </w:r>
    </w:p>
    <w:p w:rsidR="00091859" w:rsidRPr="00F05201" w:rsidRDefault="00091859" w:rsidP="00091859">
      <w:pPr>
        <w:pStyle w:val="ListParagraph"/>
        <w:numPr>
          <w:ilvl w:val="1"/>
          <w:numId w:val="1"/>
        </w:numPr>
        <w:snapToGrid w:val="0"/>
        <w:spacing w:after="0"/>
        <w:ind w:left="709" w:hanging="283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  <w:lang w:val="id-ID"/>
        </w:rPr>
        <w:t>Cakupan ketersediaan sarana dan prasarana aparatur yang memadai  (%)</w:t>
      </w:r>
    </w:p>
    <w:p w:rsidR="00091859" w:rsidRPr="00F05201" w:rsidRDefault="00091859" w:rsidP="00091859">
      <w:pPr>
        <w:pStyle w:val="ListParagraph"/>
        <w:numPr>
          <w:ilvl w:val="0"/>
          <w:numId w:val="1"/>
        </w:numPr>
        <w:snapToGrid w:val="0"/>
        <w:spacing w:after="0"/>
        <w:ind w:left="426" w:hanging="426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  <w:lang w:val="id-ID"/>
        </w:rPr>
        <w:t>Program peningkatan pengembangan sistem pelaporan capaian kinerja dan keuangan, dengan indikator kinerja:</w:t>
      </w:r>
    </w:p>
    <w:p w:rsidR="00091859" w:rsidRPr="00F05201" w:rsidRDefault="00091859" w:rsidP="00091859">
      <w:pPr>
        <w:pStyle w:val="ListParagraph"/>
        <w:numPr>
          <w:ilvl w:val="1"/>
          <w:numId w:val="1"/>
        </w:numPr>
        <w:snapToGrid w:val="0"/>
        <w:spacing w:after="0"/>
        <w:ind w:left="709" w:hanging="283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  <w:lang w:val="id-ID"/>
        </w:rPr>
        <w:t>Persentase temuan pengelolaan keuangan oleh Inspektorat/BPK yang ditindaklanjuti (%)</w:t>
      </w:r>
    </w:p>
    <w:p w:rsidR="00091859" w:rsidRPr="00F05201" w:rsidRDefault="00091859" w:rsidP="00091859">
      <w:pPr>
        <w:pStyle w:val="ListParagraph"/>
        <w:numPr>
          <w:ilvl w:val="1"/>
          <w:numId w:val="1"/>
        </w:numPr>
        <w:snapToGrid w:val="0"/>
        <w:spacing w:after="0"/>
        <w:ind w:left="709" w:hanging="283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  <w:lang w:val="id-ID"/>
        </w:rPr>
        <w:t>Persentase tertib administrasi barang/asset Perangkat Daerah (%)</w:t>
      </w:r>
    </w:p>
    <w:p w:rsidR="00091859" w:rsidRPr="00F05201" w:rsidRDefault="00091859" w:rsidP="00091859">
      <w:pPr>
        <w:pStyle w:val="ListParagraph"/>
        <w:numPr>
          <w:ilvl w:val="1"/>
          <w:numId w:val="1"/>
        </w:numPr>
        <w:snapToGrid w:val="0"/>
        <w:spacing w:after="0"/>
        <w:ind w:left="709" w:hanging="283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  <w:lang w:val="id-ID"/>
        </w:rPr>
        <w:t>Penilaian Lakip Perangkat Daerah oleh Inspektorat (kuantitatif)</w:t>
      </w:r>
    </w:p>
    <w:p w:rsidR="00091859" w:rsidRPr="00F05201" w:rsidRDefault="00091859" w:rsidP="00091859">
      <w:pPr>
        <w:pStyle w:val="ListParagraph"/>
        <w:numPr>
          <w:ilvl w:val="0"/>
          <w:numId w:val="1"/>
        </w:numPr>
        <w:snapToGrid w:val="0"/>
        <w:spacing w:after="0"/>
        <w:ind w:left="426" w:hanging="426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  <w:lang w:val="id-ID"/>
        </w:rPr>
        <w:t xml:space="preserve">Program penyusunan rencana kerja </w:t>
      </w:r>
      <w:r w:rsidRPr="00F05201">
        <w:rPr>
          <w:rFonts w:cstheme="minorHAnsi"/>
          <w:sz w:val="24"/>
          <w:szCs w:val="24"/>
        </w:rPr>
        <w:t>SKPD</w:t>
      </w:r>
      <w:r w:rsidRPr="00F05201">
        <w:rPr>
          <w:rFonts w:cstheme="minorHAnsi"/>
          <w:sz w:val="24"/>
          <w:szCs w:val="24"/>
          <w:lang w:val="id-ID"/>
        </w:rPr>
        <w:t>, dengan indikator kinerja:</w:t>
      </w:r>
    </w:p>
    <w:p w:rsidR="00091859" w:rsidRPr="00F05201" w:rsidRDefault="00091859" w:rsidP="00091859">
      <w:pPr>
        <w:pStyle w:val="ListParagraph"/>
        <w:numPr>
          <w:ilvl w:val="1"/>
          <w:numId w:val="1"/>
        </w:numPr>
        <w:snapToGrid w:val="0"/>
        <w:spacing w:after="0"/>
        <w:ind w:left="709" w:hanging="283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  <w:lang w:val="id-ID"/>
        </w:rPr>
        <w:t>Cakupan ketersediaan dokumen perencanaan Perangkat Daerah yang selaras dan tepat waktu (%)</w:t>
      </w:r>
    </w:p>
    <w:p w:rsidR="00091859" w:rsidRPr="00F05201" w:rsidRDefault="00091859" w:rsidP="00091859">
      <w:pPr>
        <w:pStyle w:val="ListParagraph"/>
        <w:numPr>
          <w:ilvl w:val="0"/>
          <w:numId w:val="1"/>
        </w:numPr>
        <w:snapToGrid w:val="0"/>
        <w:spacing w:after="0"/>
        <w:ind w:left="426" w:hanging="426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  <w:lang w:val="id-ID"/>
        </w:rPr>
        <w:t xml:space="preserve">Program </w:t>
      </w:r>
      <w:r w:rsidRPr="00F05201">
        <w:rPr>
          <w:rFonts w:cstheme="minorHAnsi"/>
          <w:sz w:val="24"/>
          <w:szCs w:val="24"/>
        </w:rPr>
        <w:t>peningkatan kapasitas sumber daya Aparatur,</w:t>
      </w:r>
      <w:r w:rsidRPr="00F05201">
        <w:rPr>
          <w:rFonts w:cstheme="minorHAnsi"/>
          <w:sz w:val="24"/>
          <w:szCs w:val="24"/>
          <w:lang w:val="id-ID"/>
        </w:rPr>
        <w:t xml:space="preserve"> dengan indikator kinerja:</w:t>
      </w:r>
    </w:p>
    <w:p w:rsidR="00091859" w:rsidRPr="00F05201" w:rsidRDefault="00091859" w:rsidP="00091859">
      <w:pPr>
        <w:pStyle w:val="ListParagraph"/>
        <w:numPr>
          <w:ilvl w:val="1"/>
          <w:numId w:val="1"/>
        </w:numPr>
        <w:snapToGrid w:val="0"/>
        <w:spacing w:after="0"/>
        <w:ind w:left="709" w:hanging="283"/>
        <w:jc w:val="both"/>
        <w:rPr>
          <w:rFonts w:cstheme="minorHAnsi"/>
          <w:color w:val="000000" w:themeColor="text1"/>
          <w:sz w:val="24"/>
          <w:szCs w:val="24"/>
          <w:lang w:val="id-ID"/>
        </w:rPr>
      </w:pPr>
      <w:r w:rsidRPr="00F05201">
        <w:rPr>
          <w:rFonts w:cstheme="minorHAnsi"/>
          <w:color w:val="000000" w:themeColor="text1"/>
          <w:sz w:val="24"/>
          <w:szCs w:val="24"/>
        </w:rPr>
        <w:t>Tersedianya Aparat Pol PP yang berdaya guna dan berhasil guna</w:t>
      </w:r>
      <w:r w:rsidRPr="00F05201">
        <w:rPr>
          <w:rFonts w:cstheme="minorHAnsi"/>
          <w:color w:val="000000" w:themeColor="text1"/>
          <w:sz w:val="24"/>
          <w:szCs w:val="24"/>
          <w:lang w:val="id-ID"/>
        </w:rPr>
        <w:t xml:space="preserve"> </w:t>
      </w:r>
      <w:r w:rsidRPr="00F05201">
        <w:rPr>
          <w:rFonts w:cstheme="minorHAnsi"/>
          <w:color w:val="000000" w:themeColor="text1"/>
          <w:sz w:val="24"/>
          <w:szCs w:val="24"/>
        </w:rPr>
        <w:t>(Jumlah</w:t>
      </w:r>
      <w:r w:rsidRPr="00F05201">
        <w:rPr>
          <w:rFonts w:cstheme="minorHAnsi"/>
          <w:color w:val="000000" w:themeColor="text1"/>
          <w:sz w:val="24"/>
          <w:szCs w:val="24"/>
          <w:lang w:val="id-ID"/>
        </w:rPr>
        <w:t>)</w:t>
      </w:r>
    </w:p>
    <w:p w:rsidR="00091859" w:rsidRPr="00F05201" w:rsidRDefault="00091859" w:rsidP="00091859">
      <w:pPr>
        <w:pStyle w:val="ListParagraph"/>
        <w:numPr>
          <w:ilvl w:val="0"/>
          <w:numId w:val="1"/>
        </w:numPr>
        <w:snapToGrid w:val="0"/>
        <w:spacing w:after="0"/>
        <w:ind w:left="426" w:hanging="426"/>
        <w:jc w:val="both"/>
        <w:rPr>
          <w:rFonts w:cstheme="minorHAnsi"/>
          <w:color w:val="000000" w:themeColor="text1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  <w:lang w:val="id-ID"/>
        </w:rPr>
        <w:t xml:space="preserve">Program peningkatan </w:t>
      </w:r>
      <w:r w:rsidRPr="00F05201">
        <w:rPr>
          <w:rFonts w:cstheme="minorHAnsi"/>
          <w:sz w:val="24"/>
          <w:szCs w:val="24"/>
        </w:rPr>
        <w:t>Peningkatan keamanan dan kenyamanan lingkungan</w:t>
      </w:r>
      <w:r w:rsidRPr="00F05201">
        <w:rPr>
          <w:rFonts w:cstheme="minorHAnsi"/>
          <w:sz w:val="24"/>
          <w:szCs w:val="24"/>
          <w:lang w:val="id-ID"/>
        </w:rPr>
        <w:t>, dengan indikator kinerja:</w:t>
      </w:r>
    </w:p>
    <w:p w:rsidR="00091859" w:rsidRPr="00F05201" w:rsidRDefault="00091859" w:rsidP="00091859">
      <w:pPr>
        <w:pStyle w:val="ListParagraph"/>
        <w:numPr>
          <w:ilvl w:val="1"/>
          <w:numId w:val="1"/>
        </w:numPr>
        <w:snapToGrid w:val="0"/>
        <w:spacing w:after="0"/>
        <w:ind w:left="709" w:hanging="283"/>
        <w:jc w:val="both"/>
        <w:rPr>
          <w:rFonts w:cstheme="minorHAnsi"/>
          <w:color w:val="000000" w:themeColor="text1"/>
          <w:sz w:val="24"/>
          <w:szCs w:val="24"/>
          <w:lang w:val="id-ID"/>
        </w:rPr>
      </w:pPr>
      <w:r w:rsidRPr="00F05201">
        <w:rPr>
          <w:rFonts w:cstheme="minorHAnsi"/>
          <w:color w:val="000000" w:themeColor="text1"/>
          <w:sz w:val="24"/>
          <w:szCs w:val="24"/>
        </w:rPr>
        <w:t>Tersedianyan nggota Linmas yang terampil</w:t>
      </w:r>
      <w:r w:rsidRPr="00F05201">
        <w:rPr>
          <w:rFonts w:cstheme="minorHAnsi"/>
          <w:color w:val="000000" w:themeColor="text1"/>
          <w:sz w:val="24"/>
          <w:szCs w:val="24"/>
          <w:lang w:val="id-ID"/>
        </w:rPr>
        <w:t xml:space="preserve"> (jumlah)</w:t>
      </w:r>
    </w:p>
    <w:p w:rsidR="00091859" w:rsidRPr="00F05201" w:rsidRDefault="00091859" w:rsidP="00091859">
      <w:pPr>
        <w:pStyle w:val="ListParagraph"/>
        <w:numPr>
          <w:ilvl w:val="0"/>
          <w:numId w:val="1"/>
        </w:numPr>
        <w:snapToGrid w:val="0"/>
        <w:spacing w:after="0"/>
        <w:ind w:left="426" w:hanging="426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  <w:lang w:val="id-ID"/>
        </w:rPr>
        <w:t>Program pe</w:t>
      </w:r>
      <w:r w:rsidRPr="00F05201">
        <w:rPr>
          <w:rFonts w:cstheme="minorHAnsi"/>
          <w:sz w:val="24"/>
          <w:szCs w:val="24"/>
        </w:rPr>
        <w:t>meliharaan kantrantibmas dan pencegahan tindak kriminal</w:t>
      </w:r>
      <w:r w:rsidRPr="00F05201">
        <w:rPr>
          <w:rFonts w:cstheme="minorHAnsi"/>
          <w:sz w:val="24"/>
          <w:szCs w:val="24"/>
          <w:lang w:val="id-ID"/>
        </w:rPr>
        <w:t>, dengan indikator kinerja:</w:t>
      </w:r>
    </w:p>
    <w:p w:rsidR="00091859" w:rsidRPr="00F05201" w:rsidRDefault="00091859" w:rsidP="00091859">
      <w:pPr>
        <w:pStyle w:val="ListParagraph"/>
        <w:numPr>
          <w:ilvl w:val="1"/>
          <w:numId w:val="1"/>
        </w:numPr>
        <w:snapToGrid w:val="0"/>
        <w:spacing w:after="0"/>
        <w:ind w:left="709" w:hanging="283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color w:val="000000" w:themeColor="text1"/>
          <w:sz w:val="24"/>
          <w:szCs w:val="24"/>
        </w:rPr>
        <w:t>Meminimalisir tingkat krimin</w:t>
      </w:r>
      <w:r w:rsidR="003658E2">
        <w:rPr>
          <w:rFonts w:cstheme="minorHAnsi"/>
          <w:color w:val="000000" w:themeColor="text1"/>
          <w:sz w:val="24"/>
          <w:szCs w:val="24"/>
        </w:rPr>
        <w:t xml:space="preserve">  </w:t>
      </w:r>
      <w:r w:rsidRPr="00F05201">
        <w:rPr>
          <w:rFonts w:cstheme="minorHAnsi"/>
          <w:color w:val="000000" w:themeColor="text1"/>
          <w:sz w:val="24"/>
          <w:szCs w:val="24"/>
        </w:rPr>
        <w:t>alitas</w:t>
      </w:r>
      <w:r w:rsidRPr="00F05201">
        <w:rPr>
          <w:rFonts w:cstheme="minorHAnsi"/>
          <w:sz w:val="24"/>
          <w:szCs w:val="24"/>
          <w:lang w:val="id-ID"/>
        </w:rPr>
        <w:t xml:space="preserve"> (%)</w:t>
      </w:r>
    </w:p>
    <w:p w:rsidR="00091859" w:rsidRPr="00F05201" w:rsidRDefault="00091859" w:rsidP="00091859">
      <w:pPr>
        <w:pStyle w:val="ListParagraph"/>
        <w:numPr>
          <w:ilvl w:val="0"/>
          <w:numId w:val="1"/>
        </w:numPr>
        <w:snapToGrid w:val="0"/>
        <w:spacing w:after="0"/>
        <w:ind w:left="426" w:hanging="426"/>
        <w:jc w:val="both"/>
        <w:rPr>
          <w:rFonts w:cstheme="minorHAnsi"/>
          <w:sz w:val="24"/>
          <w:szCs w:val="24"/>
          <w:lang w:val="id-ID"/>
        </w:rPr>
      </w:pPr>
      <w:r w:rsidRPr="00F05201">
        <w:rPr>
          <w:rFonts w:cstheme="minorHAnsi"/>
          <w:sz w:val="24"/>
          <w:szCs w:val="24"/>
          <w:lang w:val="id-ID"/>
        </w:rPr>
        <w:t xml:space="preserve">Program </w:t>
      </w:r>
      <w:r w:rsidRPr="00F05201">
        <w:rPr>
          <w:rFonts w:cstheme="minorHAnsi"/>
          <w:sz w:val="24"/>
          <w:szCs w:val="24"/>
        </w:rPr>
        <w:t>peningkatan pemberantasan penyakit masyarakat (Pekat)</w:t>
      </w:r>
      <w:r w:rsidRPr="00F05201">
        <w:rPr>
          <w:rFonts w:cstheme="minorHAnsi"/>
          <w:sz w:val="24"/>
          <w:szCs w:val="24"/>
          <w:lang w:val="id-ID"/>
        </w:rPr>
        <w:t>, dengan indikator kinerja:</w:t>
      </w:r>
    </w:p>
    <w:p w:rsidR="001105F3" w:rsidRPr="003658E2" w:rsidRDefault="00091859" w:rsidP="003658E2">
      <w:pPr>
        <w:pStyle w:val="ListParagraph"/>
        <w:numPr>
          <w:ilvl w:val="1"/>
          <w:numId w:val="1"/>
        </w:numPr>
        <w:snapToGrid w:val="0"/>
        <w:spacing w:after="120"/>
        <w:ind w:left="709" w:hanging="283"/>
        <w:jc w:val="both"/>
        <w:rPr>
          <w:sz w:val="24"/>
          <w:szCs w:val="24"/>
        </w:rPr>
      </w:pPr>
      <w:r w:rsidRPr="003658E2">
        <w:rPr>
          <w:rFonts w:cstheme="minorHAnsi"/>
          <w:sz w:val="24"/>
          <w:szCs w:val="24"/>
        </w:rPr>
        <w:lastRenderedPageBreak/>
        <w:t>Meningkatnya kesadaran pemuda terhadap bah</w:t>
      </w:r>
      <w:r w:rsidR="003658E2" w:rsidRPr="003658E2">
        <w:rPr>
          <w:rFonts w:cstheme="minorHAnsi"/>
          <w:sz w:val="24"/>
          <w:szCs w:val="24"/>
        </w:rPr>
        <w:t xml:space="preserve">aya pengunaan minuman keras dan </w:t>
      </w:r>
      <w:r w:rsidRPr="003658E2">
        <w:rPr>
          <w:rFonts w:cstheme="minorHAnsi"/>
          <w:sz w:val="24"/>
          <w:szCs w:val="24"/>
        </w:rPr>
        <w:t>narkoba</w:t>
      </w:r>
      <w:r w:rsidRPr="003658E2">
        <w:rPr>
          <w:rFonts w:cstheme="minorHAnsi"/>
          <w:sz w:val="24"/>
          <w:szCs w:val="24"/>
          <w:lang w:val="id-ID"/>
        </w:rPr>
        <w:t xml:space="preserve"> </w:t>
      </w:r>
      <w:r w:rsidR="001105F3" w:rsidRPr="003658E2">
        <w:rPr>
          <w:sz w:val="24"/>
          <w:szCs w:val="24"/>
        </w:rPr>
        <w:t>Dalam hal ini khusu</w:t>
      </w:r>
      <w:r w:rsidR="00FB4C08" w:rsidRPr="003658E2">
        <w:rPr>
          <w:sz w:val="24"/>
          <w:szCs w:val="24"/>
        </w:rPr>
        <w:t>s</w:t>
      </w:r>
      <w:r w:rsidR="001105F3" w:rsidRPr="003658E2">
        <w:rPr>
          <w:sz w:val="24"/>
          <w:szCs w:val="24"/>
        </w:rPr>
        <w:t>nya Satuan Polisi Pamong Praja</w:t>
      </w:r>
      <w:r w:rsidR="00FB4C08" w:rsidRPr="003658E2">
        <w:rPr>
          <w:sz w:val="24"/>
          <w:szCs w:val="24"/>
        </w:rPr>
        <w:t xml:space="preserve"> telah menetapkan </w:t>
      </w:r>
      <w:r w:rsidR="003658E2" w:rsidRPr="003658E2">
        <w:rPr>
          <w:sz w:val="24"/>
          <w:szCs w:val="24"/>
        </w:rPr>
        <w:t>indik</w:t>
      </w:r>
      <w:r w:rsidR="00FB4C08" w:rsidRPr="003658E2">
        <w:rPr>
          <w:sz w:val="24"/>
          <w:szCs w:val="24"/>
        </w:rPr>
        <w:t>ator kinerja dalam mendukung</w:t>
      </w:r>
      <w:r w:rsidR="003658E2" w:rsidRPr="003658E2">
        <w:rPr>
          <w:sz w:val="24"/>
          <w:szCs w:val="24"/>
        </w:rPr>
        <w:t xml:space="preserve"> </w:t>
      </w:r>
      <w:r w:rsidR="00FB4C08" w:rsidRPr="003658E2">
        <w:rPr>
          <w:sz w:val="24"/>
          <w:szCs w:val="24"/>
        </w:rPr>
        <w:t xml:space="preserve">pencapaian tujuan dan sasaran RPJMD yaitu : </w:t>
      </w:r>
    </w:p>
    <w:p w:rsidR="007D1DC6" w:rsidRDefault="007D1DC6" w:rsidP="001105F3">
      <w:pPr>
        <w:spacing w:after="12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250" w:type="dxa"/>
        <w:tblLook w:val="04A0"/>
      </w:tblPr>
      <w:tblGrid>
        <w:gridCol w:w="541"/>
        <w:gridCol w:w="1435"/>
        <w:gridCol w:w="1124"/>
        <w:gridCol w:w="979"/>
        <w:gridCol w:w="939"/>
        <w:gridCol w:w="939"/>
        <w:gridCol w:w="1041"/>
        <w:gridCol w:w="932"/>
        <w:gridCol w:w="1063"/>
      </w:tblGrid>
      <w:tr w:rsidR="007A16C1" w:rsidRPr="007A16C1" w:rsidTr="00F076E6">
        <w:trPr>
          <w:jc w:val="center"/>
        </w:trPr>
        <w:tc>
          <w:tcPr>
            <w:tcW w:w="541" w:type="dxa"/>
            <w:vMerge w:val="restart"/>
            <w:vAlign w:val="center"/>
          </w:tcPr>
          <w:p w:rsidR="007A16C1" w:rsidRPr="007A16C1" w:rsidRDefault="007A16C1" w:rsidP="00FB4C08">
            <w:pPr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435" w:type="dxa"/>
            <w:vMerge w:val="restart"/>
            <w:vAlign w:val="center"/>
          </w:tcPr>
          <w:p w:rsidR="007A16C1" w:rsidRPr="007A16C1" w:rsidRDefault="007A16C1" w:rsidP="00FB4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Indikator</w:t>
            </w:r>
          </w:p>
        </w:tc>
        <w:tc>
          <w:tcPr>
            <w:tcW w:w="1124" w:type="dxa"/>
          </w:tcPr>
          <w:p w:rsidR="007A16C1" w:rsidRPr="007A16C1" w:rsidRDefault="007A16C1" w:rsidP="00FB4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Kondisi awal Priode RPJMD</w:t>
            </w:r>
          </w:p>
        </w:tc>
        <w:tc>
          <w:tcPr>
            <w:tcW w:w="4830" w:type="dxa"/>
            <w:gridSpan w:val="5"/>
            <w:vAlign w:val="center"/>
          </w:tcPr>
          <w:p w:rsidR="007A16C1" w:rsidRPr="007A16C1" w:rsidRDefault="007A16C1" w:rsidP="007A16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Target Capaian  Setiap Tahun</w:t>
            </w:r>
          </w:p>
        </w:tc>
        <w:tc>
          <w:tcPr>
            <w:tcW w:w="1063" w:type="dxa"/>
          </w:tcPr>
          <w:p w:rsidR="007A16C1" w:rsidRPr="007A16C1" w:rsidRDefault="007A16C1" w:rsidP="00FB4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Kondisi Kinerja pada akhir Priode RPJMD</w:t>
            </w:r>
          </w:p>
        </w:tc>
      </w:tr>
      <w:tr w:rsidR="007D1DC6" w:rsidRPr="007A16C1" w:rsidTr="003658E2">
        <w:trPr>
          <w:jc w:val="center"/>
        </w:trPr>
        <w:tc>
          <w:tcPr>
            <w:tcW w:w="541" w:type="dxa"/>
            <w:vMerge/>
          </w:tcPr>
          <w:p w:rsidR="007D1DC6" w:rsidRPr="007A16C1" w:rsidRDefault="007D1DC6" w:rsidP="00FB4C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D1DC6" w:rsidRPr="007A16C1" w:rsidRDefault="007D1DC6" w:rsidP="00FB4C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7D1DC6" w:rsidRPr="007A16C1" w:rsidRDefault="007D1DC6" w:rsidP="00FB4C08">
            <w:pPr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Tahun 0</w:t>
            </w:r>
          </w:p>
        </w:tc>
        <w:tc>
          <w:tcPr>
            <w:tcW w:w="979" w:type="dxa"/>
          </w:tcPr>
          <w:p w:rsidR="007D1DC6" w:rsidRPr="007A16C1" w:rsidRDefault="007D1DC6" w:rsidP="00FB4C08">
            <w:pPr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Tahun 1</w:t>
            </w:r>
          </w:p>
        </w:tc>
        <w:tc>
          <w:tcPr>
            <w:tcW w:w="939" w:type="dxa"/>
          </w:tcPr>
          <w:p w:rsidR="007D1DC6" w:rsidRPr="007A16C1" w:rsidRDefault="007D1DC6" w:rsidP="00FB4C08">
            <w:pPr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Tahun 2</w:t>
            </w:r>
          </w:p>
        </w:tc>
        <w:tc>
          <w:tcPr>
            <w:tcW w:w="939" w:type="dxa"/>
          </w:tcPr>
          <w:p w:rsidR="007D1DC6" w:rsidRPr="007A16C1" w:rsidRDefault="007D1DC6" w:rsidP="00FB4C08">
            <w:pPr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Tahun 3</w:t>
            </w:r>
          </w:p>
        </w:tc>
        <w:tc>
          <w:tcPr>
            <w:tcW w:w="1041" w:type="dxa"/>
          </w:tcPr>
          <w:p w:rsidR="007D1DC6" w:rsidRPr="007A16C1" w:rsidRDefault="007D1DC6" w:rsidP="00FB4C08">
            <w:pPr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 xml:space="preserve">Tahun 4 </w:t>
            </w:r>
          </w:p>
        </w:tc>
        <w:tc>
          <w:tcPr>
            <w:tcW w:w="932" w:type="dxa"/>
          </w:tcPr>
          <w:p w:rsidR="007D1DC6" w:rsidRPr="007A16C1" w:rsidRDefault="007D1DC6" w:rsidP="00FB4C08">
            <w:pPr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Tahun 5</w:t>
            </w:r>
          </w:p>
        </w:tc>
        <w:tc>
          <w:tcPr>
            <w:tcW w:w="1063" w:type="dxa"/>
          </w:tcPr>
          <w:p w:rsidR="007D1DC6" w:rsidRPr="007A16C1" w:rsidRDefault="007D1DC6" w:rsidP="00FB4C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1DC6" w:rsidRPr="007A16C1" w:rsidTr="003658E2">
        <w:trPr>
          <w:jc w:val="center"/>
        </w:trPr>
        <w:tc>
          <w:tcPr>
            <w:tcW w:w="541" w:type="dxa"/>
          </w:tcPr>
          <w:p w:rsidR="007D1DC6" w:rsidRPr="007A16C1" w:rsidRDefault="007D1DC6" w:rsidP="00FB4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7D1DC6" w:rsidRPr="007A16C1" w:rsidRDefault="007D1DC6" w:rsidP="00FB4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1124" w:type="dxa"/>
          </w:tcPr>
          <w:p w:rsidR="007D1DC6" w:rsidRPr="007A16C1" w:rsidRDefault="007D1DC6" w:rsidP="00FB4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979" w:type="dxa"/>
          </w:tcPr>
          <w:p w:rsidR="007D1DC6" w:rsidRPr="007A16C1" w:rsidRDefault="007D1DC6" w:rsidP="00FB4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939" w:type="dxa"/>
          </w:tcPr>
          <w:p w:rsidR="007D1DC6" w:rsidRPr="007A16C1" w:rsidRDefault="007D1DC6" w:rsidP="00FB4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939" w:type="dxa"/>
          </w:tcPr>
          <w:p w:rsidR="007D1DC6" w:rsidRPr="007A16C1" w:rsidRDefault="007D1DC6" w:rsidP="00FB4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  <w:tc>
          <w:tcPr>
            <w:tcW w:w="1041" w:type="dxa"/>
          </w:tcPr>
          <w:p w:rsidR="007D1DC6" w:rsidRPr="007A16C1" w:rsidRDefault="007D1DC6" w:rsidP="00FB4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  <w:tc>
          <w:tcPr>
            <w:tcW w:w="932" w:type="dxa"/>
          </w:tcPr>
          <w:p w:rsidR="007D1DC6" w:rsidRPr="007A16C1" w:rsidRDefault="007D1DC6" w:rsidP="00FB4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(7)</w:t>
            </w:r>
          </w:p>
        </w:tc>
        <w:tc>
          <w:tcPr>
            <w:tcW w:w="1063" w:type="dxa"/>
          </w:tcPr>
          <w:p w:rsidR="007D1DC6" w:rsidRPr="007A16C1" w:rsidRDefault="007D1DC6" w:rsidP="00FB4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(8)</w:t>
            </w:r>
          </w:p>
        </w:tc>
      </w:tr>
      <w:tr w:rsidR="003658E2" w:rsidRPr="007A16C1" w:rsidTr="003658E2">
        <w:trPr>
          <w:jc w:val="center"/>
        </w:trPr>
        <w:tc>
          <w:tcPr>
            <w:tcW w:w="541" w:type="dxa"/>
          </w:tcPr>
          <w:p w:rsidR="003658E2" w:rsidRPr="007A16C1" w:rsidRDefault="003658E2" w:rsidP="00FB4C08">
            <w:pPr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3658E2" w:rsidRPr="007A16C1" w:rsidRDefault="003658E2" w:rsidP="00FB4C08">
            <w:pPr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Persentase pelanggaran Perda tertangani</w:t>
            </w:r>
          </w:p>
        </w:tc>
        <w:tc>
          <w:tcPr>
            <w:tcW w:w="1124" w:type="dxa"/>
          </w:tcPr>
          <w:p w:rsidR="003658E2" w:rsidRPr="007A16C1" w:rsidRDefault="003658E2" w:rsidP="00CD1C2D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A16C1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79" w:type="dxa"/>
          </w:tcPr>
          <w:p w:rsidR="003658E2" w:rsidRPr="007A16C1" w:rsidRDefault="003658E2" w:rsidP="00CD1C2D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A16C1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39" w:type="dxa"/>
          </w:tcPr>
          <w:p w:rsidR="003658E2" w:rsidRPr="007A16C1" w:rsidRDefault="003658E2" w:rsidP="00CD1C2D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A16C1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39" w:type="dxa"/>
          </w:tcPr>
          <w:p w:rsidR="003658E2" w:rsidRPr="007A16C1" w:rsidRDefault="003658E2" w:rsidP="00CD1C2D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A16C1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041" w:type="dxa"/>
          </w:tcPr>
          <w:p w:rsidR="003658E2" w:rsidRPr="007A16C1" w:rsidRDefault="003658E2" w:rsidP="00CD1C2D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A16C1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32" w:type="dxa"/>
          </w:tcPr>
          <w:p w:rsidR="003658E2" w:rsidRPr="007A16C1" w:rsidRDefault="003658E2" w:rsidP="00CD1C2D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A16C1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063" w:type="dxa"/>
          </w:tcPr>
          <w:p w:rsidR="003658E2" w:rsidRPr="007A16C1" w:rsidRDefault="003658E2" w:rsidP="00CD1C2D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A16C1">
              <w:rPr>
                <w:bCs/>
                <w:sz w:val="20"/>
                <w:szCs w:val="20"/>
              </w:rPr>
              <w:t>75</w:t>
            </w:r>
          </w:p>
        </w:tc>
      </w:tr>
      <w:tr w:rsidR="003658E2" w:rsidRPr="007A16C1" w:rsidTr="003658E2">
        <w:trPr>
          <w:jc w:val="center"/>
        </w:trPr>
        <w:tc>
          <w:tcPr>
            <w:tcW w:w="541" w:type="dxa"/>
          </w:tcPr>
          <w:p w:rsidR="003658E2" w:rsidRPr="007A16C1" w:rsidRDefault="003658E2" w:rsidP="00FB4C08">
            <w:pPr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3658E2" w:rsidRPr="007A16C1" w:rsidRDefault="003658E2" w:rsidP="00FB4C08">
            <w:pPr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Persentase konflik social</w:t>
            </w:r>
          </w:p>
        </w:tc>
        <w:tc>
          <w:tcPr>
            <w:tcW w:w="1124" w:type="dxa"/>
          </w:tcPr>
          <w:p w:rsidR="003658E2" w:rsidRPr="007A16C1" w:rsidRDefault="003658E2" w:rsidP="00CD1C2D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A16C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79" w:type="dxa"/>
          </w:tcPr>
          <w:p w:rsidR="003658E2" w:rsidRPr="007A16C1" w:rsidRDefault="003658E2" w:rsidP="00CD1C2D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A16C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39" w:type="dxa"/>
          </w:tcPr>
          <w:p w:rsidR="003658E2" w:rsidRPr="007A16C1" w:rsidRDefault="003658E2" w:rsidP="00CD1C2D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A16C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39" w:type="dxa"/>
          </w:tcPr>
          <w:p w:rsidR="003658E2" w:rsidRPr="007A16C1" w:rsidRDefault="003658E2" w:rsidP="00CD1C2D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A16C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041" w:type="dxa"/>
          </w:tcPr>
          <w:p w:rsidR="003658E2" w:rsidRPr="007A16C1" w:rsidRDefault="003658E2" w:rsidP="00CD1C2D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A16C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32" w:type="dxa"/>
          </w:tcPr>
          <w:p w:rsidR="003658E2" w:rsidRPr="007A16C1" w:rsidRDefault="003658E2" w:rsidP="00CD1C2D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A16C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063" w:type="dxa"/>
          </w:tcPr>
          <w:p w:rsidR="003658E2" w:rsidRPr="007A16C1" w:rsidRDefault="003658E2" w:rsidP="00CD1C2D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A16C1">
              <w:rPr>
                <w:bCs/>
                <w:sz w:val="20"/>
                <w:szCs w:val="20"/>
              </w:rPr>
              <w:t>60</w:t>
            </w:r>
          </w:p>
        </w:tc>
      </w:tr>
      <w:tr w:rsidR="003658E2" w:rsidRPr="007A16C1" w:rsidTr="003658E2">
        <w:trPr>
          <w:jc w:val="center"/>
        </w:trPr>
        <w:tc>
          <w:tcPr>
            <w:tcW w:w="541" w:type="dxa"/>
          </w:tcPr>
          <w:p w:rsidR="003658E2" w:rsidRPr="007A16C1" w:rsidRDefault="003658E2" w:rsidP="00FB4C08">
            <w:pPr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35" w:type="dxa"/>
          </w:tcPr>
          <w:p w:rsidR="003658E2" w:rsidRPr="007A16C1" w:rsidRDefault="003658E2" w:rsidP="00FB4C08">
            <w:pPr>
              <w:rPr>
                <w:rFonts w:cstheme="minorHAnsi"/>
                <w:b/>
                <w:sz w:val="20"/>
                <w:szCs w:val="20"/>
              </w:rPr>
            </w:pPr>
            <w:r w:rsidRPr="007A16C1">
              <w:rPr>
                <w:rFonts w:cstheme="minorHAnsi"/>
                <w:b/>
                <w:sz w:val="20"/>
                <w:szCs w:val="20"/>
              </w:rPr>
              <w:t>Persentase capaian SPM bidang ketertiban dan perlindungan masyarakat</w:t>
            </w:r>
          </w:p>
        </w:tc>
        <w:tc>
          <w:tcPr>
            <w:tcW w:w="1124" w:type="dxa"/>
          </w:tcPr>
          <w:p w:rsidR="003658E2" w:rsidRPr="007A16C1" w:rsidRDefault="003658E2" w:rsidP="00CD1C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A16C1">
              <w:rPr>
                <w:sz w:val="20"/>
                <w:szCs w:val="20"/>
              </w:rPr>
              <w:t>80</w:t>
            </w:r>
          </w:p>
        </w:tc>
        <w:tc>
          <w:tcPr>
            <w:tcW w:w="979" w:type="dxa"/>
          </w:tcPr>
          <w:p w:rsidR="003658E2" w:rsidRPr="007A16C1" w:rsidRDefault="003658E2" w:rsidP="00CD1C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A16C1">
              <w:rPr>
                <w:sz w:val="20"/>
                <w:szCs w:val="20"/>
              </w:rPr>
              <w:t>80</w:t>
            </w:r>
          </w:p>
        </w:tc>
        <w:tc>
          <w:tcPr>
            <w:tcW w:w="939" w:type="dxa"/>
          </w:tcPr>
          <w:p w:rsidR="003658E2" w:rsidRPr="007A16C1" w:rsidRDefault="003658E2" w:rsidP="00CD1C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A16C1">
              <w:rPr>
                <w:sz w:val="20"/>
                <w:szCs w:val="20"/>
              </w:rPr>
              <w:t>80</w:t>
            </w:r>
          </w:p>
        </w:tc>
        <w:tc>
          <w:tcPr>
            <w:tcW w:w="939" w:type="dxa"/>
          </w:tcPr>
          <w:p w:rsidR="003658E2" w:rsidRPr="007A16C1" w:rsidRDefault="003658E2" w:rsidP="00CD1C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A16C1">
              <w:rPr>
                <w:sz w:val="20"/>
                <w:szCs w:val="20"/>
              </w:rPr>
              <w:t>80</w:t>
            </w:r>
          </w:p>
        </w:tc>
        <w:tc>
          <w:tcPr>
            <w:tcW w:w="1041" w:type="dxa"/>
          </w:tcPr>
          <w:p w:rsidR="003658E2" w:rsidRPr="007A16C1" w:rsidRDefault="003658E2" w:rsidP="00CD1C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A16C1">
              <w:rPr>
                <w:sz w:val="20"/>
                <w:szCs w:val="20"/>
              </w:rPr>
              <w:t>80</w:t>
            </w:r>
          </w:p>
        </w:tc>
        <w:tc>
          <w:tcPr>
            <w:tcW w:w="932" w:type="dxa"/>
          </w:tcPr>
          <w:p w:rsidR="003658E2" w:rsidRPr="007A16C1" w:rsidRDefault="003658E2" w:rsidP="00CD1C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A16C1">
              <w:rPr>
                <w:sz w:val="20"/>
                <w:szCs w:val="20"/>
              </w:rPr>
              <w:t>80</w:t>
            </w:r>
          </w:p>
        </w:tc>
        <w:tc>
          <w:tcPr>
            <w:tcW w:w="1063" w:type="dxa"/>
          </w:tcPr>
          <w:p w:rsidR="003658E2" w:rsidRPr="007A16C1" w:rsidRDefault="003658E2" w:rsidP="00CD1C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A16C1">
              <w:rPr>
                <w:sz w:val="20"/>
                <w:szCs w:val="20"/>
              </w:rPr>
              <w:t>80</w:t>
            </w:r>
          </w:p>
        </w:tc>
      </w:tr>
    </w:tbl>
    <w:p w:rsidR="007D1DC6" w:rsidRDefault="007D1DC6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</w:pPr>
    </w:p>
    <w:p w:rsidR="009C2BF3" w:rsidRDefault="009C2BF3" w:rsidP="007D1DC6">
      <w:pPr>
        <w:spacing w:after="120" w:line="240" w:lineRule="auto"/>
        <w:rPr>
          <w:b/>
          <w:sz w:val="24"/>
          <w:szCs w:val="24"/>
        </w:rPr>
        <w:sectPr w:rsidR="009C2BF3" w:rsidSect="007A16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440" w:bottom="1440" w:left="1440" w:header="720" w:footer="438" w:gutter="0"/>
          <w:pgNumType w:start="100"/>
          <w:cols w:space="720"/>
          <w:docGrid w:linePitch="360"/>
        </w:sectPr>
      </w:pPr>
    </w:p>
    <w:p w:rsidR="009C2BF3" w:rsidRPr="009304B8" w:rsidRDefault="009C2BF3" w:rsidP="009C2BF3">
      <w:pPr>
        <w:pStyle w:val="NoSpacing"/>
        <w:spacing w:line="276" w:lineRule="auto"/>
        <w:jc w:val="center"/>
        <w:rPr>
          <w:rFonts w:cstheme="minorHAnsi"/>
          <w:b/>
          <w:bCs/>
          <w:sz w:val="24"/>
          <w:szCs w:val="24"/>
          <w:lang w:val="id-ID"/>
        </w:rPr>
      </w:pPr>
      <w:r w:rsidRPr="009304B8">
        <w:rPr>
          <w:rFonts w:cstheme="minorHAnsi"/>
          <w:b/>
          <w:bCs/>
          <w:sz w:val="24"/>
          <w:szCs w:val="24"/>
          <w:lang w:val="id-ID"/>
        </w:rPr>
        <w:lastRenderedPageBreak/>
        <w:t>Tabel 5.1</w:t>
      </w:r>
    </w:p>
    <w:p w:rsidR="009C2BF3" w:rsidRPr="009304B8" w:rsidRDefault="009C2BF3" w:rsidP="009C2BF3">
      <w:pPr>
        <w:pStyle w:val="NoSpacing"/>
        <w:spacing w:after="120" w:line="276" w:lineRule="auto"/>
        <w:jc w:val="center"/>
        <w:rPr>
          <w:rFonts w:cstheme="minorHAnsi"/>
          <w:b/>
          <w:bCs/>
          <w:sz w:val="24"/>
          <w:szCs w:val="24"/>
          <w:lang w:val="id-ID"/>
        </w:rPr>
      </w:pPr>
      <w:r w:rsidRPr="009304B8">
        <w:rPr>
          <w:rFonts w:cstheme="minorHAnsi"/>
          <w:b/>
          <w:bCs/>
          <w:sz w:val="24"/>
          <w:szCs w:val="24"/>
        </w:rPr>
        <w:t>Indikator Kinerja Program Satuan Polisi Pamong Praja Kabupaten Sumbawa 201</w:t>
      </w:r>
      <w:r w:rsidRPr="009304B8">
        <w:rPr>
          <w:rFonts w:cstheme="minorHAnsi"/>
          <w:b/>
          <w:bCs/>
          <w:sz w:val="24"/>
          <w:szCs w:val="24"/>
          <w:lang w:val="id-ID"/>
        </w:rPr>
        <w:t>6</w:t>
      </w:r>
      <w:r w:rsidRPr="009304B8">
        <w:rPr>
          <w:rFonts w:cstheme="minorHAnsi"/>
          <w:b/>
          <w:bCs/>
          <w:sz w:val="24"/>
          <w:szCs w:val="24"/>
        </w:rPr>
        <w:t>-20</w:t>
      </w:r>
      <w:r w:rsidRPr="009304B8">
        <w:rPr>
          <w:rFonts w:cstheme="minorHAnsi"/>
          <w:b/>
          <w:bCs/>
          <w:sz w:val="24"/>
          <w:szCs w:val="24"/>
          <w:lang w:val="id-ID"/>
        </w:rPr>
        <w:t>21</w:t>
      </w:r>
    </w:p>
    <w:tbl>
      <w:tblPr>
        <w:tblStyle w:val="TableElegant"/>
        <w:tblW w:w="141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097"/>
        <w:gridCol w:w="2409"/>
        <w:gridCol w:w="1134"/>
        <w:gridCol w:w="993"/>
        <w:gridCol w:w="992"/>
        <w:gridCol w:w="1134"/>
        <w:gridCol w:w="1370"/>
        <w:gridCol w:w="1134"/>
        <w:gridCol w:w="1134"/>
        <w:gridCol w:w="1134"/>
      </w:tblGrid>
      <w:tr w:rsidR="009C2BF3" w:rsidRPr="007A16C1" w:rsidTr="00CD1C2D">
        <w:trPr>
          <w:cnfStyle w:val="100000000000"/>
          <w:trHeight w:val="439"/>
          <w:tblHeader/>
          <w:jc w:val="center"/>
        </w:trPr>
        <w:tc>
          <w:tcPr>
            <w:tcW w:w="597" w:type="dxa"/>
            <w:vMerge w:val="restart"/>
            <w:vAlign w:val="center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6C1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097" w:type="dxa"/>
            <w:vMerge w:val="restart"/>
            <w:vAlign w:val="center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6C1">
              <w:rPr>
                <w:rFonts w:asciiTheme="minorHAnsi" w:hAnsiTheme="minorHAnsi" w:cstheme="minorHAnsi"/>
                <w:b/>
                <w:bCs/>
              </w:rPr>
              <w:t>PROGRAM</w:t>
            </w:r>
          </w:p>
        </w:tc>
        <w:tc>
          <w:tcPr>
            <w:tcW w:w="2409" w:type="dxa"/>
            <w:vMerge w:val="restart"/>
            <w:vAlign w:val="center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6C1">
              <w:rPr>
                <w:rFonts w:asciiTheme="minorHAnsi" w:hAnsiTheme="minorHAnsi" w:cstheme="minorHAnsi"/>
                <w:b/>
                <w:bCs/>
              </w:rPr>
              <w:t>INDIKATOR KINERJA</w:t>
            </w:r>
          </w:p>
        </w:tc>
        <w:tc>
          <w:tcPr>
            <w:tcW w:w="1134" w:type="dxa"/>
            <w:vMerge w:val="restart"/>
            <w:vAlign w:val="center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6C1">
              <w:rPr>
                <w:rFonts w:asciiTheme="minorHAnsi" w:hAnsiTheme="minorHAnsi" w:cstheme="minorHAnsi"/>
                <w:b/>
                <w:bCs/>
              </w:rPr>
              <w:t>SATUAN</w:t>
            </w:r>
          </w:p>
        </w:tc>
        <w:tc>
          <w:tcPr>
            <w:tcW w:w="1985" w:type="dxa"/>
            <w:gridSpan w:val="2"/>
            <w:vAlign w:val="center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id-ID"/>
              </w:rPr>
            </w:pPr>
            <w:r w:rsidRPr="007A16C1">
              <w:rPr>
                <w:rFonts w:asciiTheme="minorHAnsi" w:hAnsiTheme="minorHAnsi" w:cstheme="minorHAnsi"/>
                <w:b/>
                <w:bCs/>
              </w:rPr>
              <w:t>TARGET KINERJA</w:t>
            </w:r>
          </w:p>
        </w:tc>
        <w:tc>
          <w:tcPr>
            <w:tcW w:w="1134" w:type="dxa"/>
            <w:vMerge w:val="restart"/>
            <w:vAlign w:val="center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id-ID"/>
              </w:rPr>
            </w:pPr>
            <w:r w:rsidRPr="007A16C1">
              <w:rPr>
                <w:rFonts w:asciiTheme="minorHAnsi" w:hAnsiTheme="minorHAnsi" w:cstheme="minorHAnsi"/>
                <w:b/>
                <w:bCs/>
              </w:rPr>
              <w:t>201</w:t>
            </w:r>
            <w:r w:rsidRPr="007A16C1">
              <w:rPr>
                <w:rFonts w:asciiTheme="minorHAnsi" w:hAnsiTheme="minorHAnsi" w:cstheme="minorHAnsi"/>
                <w:b/>
                <w:bCs/>
                <w:lang w:val="id-ID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  <w:vAlign w:val="center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6C1">
              <w:rPr>
                <w:rFonts w:asciiTheme="minorHAnsi" w:hAnsiTheme="minorHAnsi" w:cstheme="minorHAnsi"/>
                <w:b/>
                <w:bCs/>
              </w:rPr>
              <w:t>201</w:t>
            </w:r>
            <w:r w:rsidRPr="007A16C1">
              <w:rPr>
                <w:rFonts w:asciiTheme="minorHAnsi" w:hAnsiTheme="minorHAnsi" w:cstheme="minorHAnsi"/>
                <w:b/>
                <w:bCs/>
                <w:lang w:val="id-ID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id-ID"/>
              </w:rPr>
            </w:pPr>
            <w:r w:rsidRPr="007A16C1">
              <w:rPr>
                <w:rFonts w:asciiTheme="minorHAnsi" w:hAnsiTheme="minorHAnsi" w:cstheme="minorHAnsi"/>
                <w:b/>
                <w:bCs/>
              </w:rPr>
              <w:t>201</w:t>
            </w:r>
            <w:r w:rsidRPr="007A16C1">
              <w:rPr>
                <w:rFonts w:asciiTheme="minorHAnsi" w:hAnsiTheme="minorHAnsi" w:cstheme="minorHAnsi"/>
                <w:b/>
                <w:bCs/>
                <w:lang w:val="id-ID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6C1">
              <w:rPr>
                <w:rFonts w:asciiTheme="minorHAnsi" w:hAnsiTheme="minorHAnsi" w:cstheme="minorHAnsi"/>
                <w:b/>
                <w:bCs/>
              </w:rPr>
              <w:t>201</w:t>
            </w:r>
            <w:r w:rsidRPr="007A16C1">
              <w:rPr>
                <w:rFonts w:asciiTheme="minorHAnsi" w:hAnsiTheme="minorHAnsi" w:cstheme="minorHAnsi"/>
                <w:b/>
                <w:bCs/>
                <w:lang w:val="id-ID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id-ID"/>
              </w:rPr>
            </w:pPr>
            <w:r w:rsidRPr="007A16C1">
              <w:rPr>
                <w:rFonts w:asciiTheme="minorHAnsi" w:hAnsiTheme="minorHAnsi" w:cstheme="minorHAnsi"/>
                <w:b/>
                <w:bCs/>
              </w:rPr>
              <w:t>20</w:t>
            </w:r>
            <w:r w:rsidRPr="007A16C1">
              <w:rPr>
                <w:rFonts w:asciiTheme="minorHAnsi" w:hAnsiTheme="minorHAnsi" w:cstheme="minorHAnsi"/>
                <w:b/>
                <w:bCs/>
                <w:lang w:val="id-ID"/>
              </w:rPr>
              <w:t>20</w:t>
            </w:r>
          </w:p>
        </w:tc>
      </w:tr>
      <w:tr w:rsidR="009C2BF3" w:rsidRPr="007A16C1" w:rsidTr="00CD1C2D">
        <w:trPr>
          <w:cnfStyle w:val="100000000000"/>
          <w:trHeight w:val="145"/>
          <w:tblHeader/>
          <w:jc w:val="center"/>
        </w:trPr>
        <w:tc>
          <w:tcPr>
            <w:tcW w:w="597" w:type="dxa"/>
            <w:vMerge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Merge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6C1">
              <w:rPr>
                <w:rFonts w:asciiTheme="minorHAnsi" w:hAnsiTheme="minorHAnsi" w:cstheme="minorHAnsi"/>
                <w:b/>
                <w:bCs/>
              </w:rPr>
              <w:t>KONDISI</w:t>
            </w:r>
          </w:p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6C1">
              <w:rPr>
                <w:rFonts w:asciiTheme="minorHAnsi" w:hAnsiTheme="minorHAnsi" w:cstheme="minorHAnsi"/>
                <w:b/>
                <w:bCs/>
              </w:rPr>
              <w:t>AWAL</w:t>
            </w:r>
          </w:p>
        </w:tc>
        <w:tc>
          <w:tcPr>
            <w:tcW w:w="992" w:type="dxa"/>
            <w:vAlign w:val="center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6C1">
              <w:rPr>
                <w:rFonts w:asciiTheme="minorHAnsi" w:hAnsiTheme="minorHAnsi" w:cstheme="minorHAnsi"/>
                <w:b/>
                <w:bCs/>
              </w:rPr>
              <w:t>KONDISI</w:t>
            </w:r>
          </w:p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6C1">
              <w:rPr>
                <w:rFonts w:asciiTheme="minorHAnsi" w:hAnsiTheme="minorHAnsi" w:cstheme="minorHAnsi"/>
                <w:b/>
                <w:bCs/>
              </w:rPr>
              <w:t>AKHIR</w:t>
            </w:r>
          </w:p>
        </w:tc>
        <w:tc>
          <w:tcPr>
            <w:tcW w:w="1134" w:type="dxa"/>
            <w:vMerge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C2BF3" w:rsidRPr="007A16C1" w:rsidTr="00CD1C2D">
        <w:trPr>
          <w:trHeight w:val="738"/>
          <w:jc w:val="center"/>
        </w:trPr>
        <w:tc>
          <w:tcPr>
            <w:tcW w:w="597" w:type="dxa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id-ID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Program Pelayanan Administrasi Perkantoran</w:t>
            </w: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Cakupan pelayanan administrasi perkantoran yang terselesaikan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       100 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100 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</w:tr>
      <w:tr w:rsidR="009C2BF3" w:rsidRPr="007A16C1" w:rsidTr="00CD1C2D">
        <w:trPr>
          <w:trHeight w:val="145"/>
          <w:jc w:val="center"/>
        </w:trPr>
        <w:tc>
          <w:tcPr>
            <w:tcW w:w="597" w:type="dxa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id-ID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Program Peningkatan Sarana dan Prasarana Aparatur</w:t>
            </w: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Cakupan ketersediaan sarana dan prasarana aparatur yang memadai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       100 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100 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</w:tr>
      <w:tr w:rsidR="009C2BF3" w:rsidRPr="007A16C1" w:rsidTr="00CD1C2D">
        <w:trPr>
          <w:trHeight w:val="145"/>
          <w:jc w:val="center"/>
        </w:trPr>
        <w:tc>
          <w:tcPr>
            <w:tcW w:w="597" w:type="dxa"/>
            <w:vMerge w:val="restart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id-ID"/>
              </w:rPr>
            </w:pPr>
          </w:p>
        </w:tc>
        <w:tc>
          <w:tcPr>
            <w:tcW w:w="2097" w:type="dxa"/>
            <w:vMerge w:val="restart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Program Peningkatan kapasitas sumber daya aparatur</w:t>
            </w: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Persentase Jumlah Aparat Pol-PP yang telah mengikuti Diklatsar Pol-PP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75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75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</w:tr>
      <w:tr w:rsidR="009C2BF3" w:rsidRPr="007A16C1" w:rsidTr="00CD1C2D">
        <w:trPr>
          <w:trHeight w:val="145"/>
          <w:jc w:val="center"/>
        </w:trPr>
        <w:tc>
          <w:tcPr>
            <w:tcW w:w="597" w:type="dxa"/>
            <w:vMerge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id-ID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Persentase jumlah penyidik Pol-PP yang telah mengikuti Diklat Penyidikan (PPNS)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</w:tr>
      <w:tr w:rsidR="009C2BF3" w:rsidRPr="007A16C1" w:rsidTr="00CD1C2D">
        <w:trPr>
          <w:trHeight w:val="145"/>
          <w:jc w:val="center"/>
        </w:trPr>
        <w:tc>
          <w:tcPr>
            <w:tcW w:w="597" w:type="dxa"/>
            <w:vMerge w:val="restart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id-ID"/>
              </w:rPr>
            </w:pPr>
          </w:p>
        </w:tc>
        <w:tc>
          <w:tcPr>
            <w:tcW w:w="2097" w:type="dxa"/>
            <w:vMerge w:val="restart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Program Peningkatan Pengembangan Sistem Pelaporan capaian Kinerja dan Keuangan</w:t>
            </w: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Persetase Temuan Pengelolaan Keuangan oleh Inspektorat/BPK yang ditindaklanjuti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       100 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100 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</w:tr>
      <w:tr w:rsidR="009C2BF3" w:rsidRPr="007A16C1" w:rsidTr="00CD1C2D">
        <w:trPr>
          <w:trHeight w:val="145"/>
          <w:jc w:val="center"/>
        </w:trPr>
        <w:tc>
          <w:tcPr>
            <w:tcW w:w="597" w:type="dxa"/>
            <w:vMerge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id-ID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outlineLvl w:val="3"/>
              <w:rPr>
                <w:rFonts w:asciiTheme="minorHAnsi" w:hAnsiTheme="minorHAnsi" w:cstheme="minorHAnsi"/>
                <w:color w:val="000000" w:themeColor="text1"/>
                <w:lang w:val="id-ID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Persentase tertib administrasi barang/asset perangkat daerah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       100 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100 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</w:tr>
      <w:tr w:rsidR="009C2BF3" w:rsidRPr="007A16C1" w:rsidTr="00CD1C2D">
        <w:trPr>
          <w:trHeight w:val="145"/>
          <w:jc w:val="center"/>
        </w:trPr>
        <w:tc>
          <w:tcPr>
            <w:tcW w:w="597" w:type="dxa"/>
            <w:vMerge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id-ID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outlineLvl w:val="3"/>
              <w:rPr>
                <w:rFonts w:asciiTheme="minorHAnsi" w:hAnsiTheme="minorHAnsi" w:cstheme="minorHAnsi"/>
                <w:color w:val="000000" w:themeColor="text1"/>
                <w:lang w:val="id-ID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Penilaian Lakip Perangkat Daerah oleh Inspektorat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t>kualitatif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CC 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B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B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B</w:t>
            </w:r>
          </w:p>
        </w:tc>
      </w:tr>
      <w:tr w:rsidR="009C2BF3" w:rsidRPr="007A16C1" w:rsidTr="00CD1C2D">
        <w:trPr>
          <w:trHeight w:val="145"/>
          <w:jc w:val="center"/>
        </w:trPr>
        <w:tc>
          <w:tcPr>
            <w:tcW w:w="597" w:type="dxa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id-ID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outlineLvl w:val="3"/>
              <w:rPr>
                <w:rFonts w:asciiTheme="minorHAnsi" w:hAnsiTheme="minorHAnsi" w:cstheme="minorHAnsi"/>
                <w:color w:val="000000" w:themeColor="text1"/>
                <w:lang w:val="id-ID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  <w:lang w:val="id-ID"/>
              </w:rPr>
              <w:t>Program Penyusunan Rencana Kerja Perangkat Daerah</w:t>
            </w: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Cakupan ketersediaan dokumen perencanaan Perangkat Daerah yang </w:t>
            </w:r>
            <w:r w:rsidRPr="007A16C1">
              <w:rPr>
                <w:rFonts w:asciiTheme="minorHAnsi" w:hAnsiTheme="minorHAnsi" w:cstheme="minorHAnsi"/>
                <w:color w:val="000000" w:themeColor="text1"/>
              </w:rPr>
              <w:lastRenderedPageBreak/>
              <w:t>selaras dan tepat waktu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       100 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100 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                 100 </w:t>
            </w:r>
          </w:p>
        </w:tc>
      </w:tr>
      <w:tr w:rsidR="009C2BF3" w:rsidRPr="007A16C1" w:rsidTr="00CD1C2D">
        <w:trPr>
          <w:trHeight w:val="145"/>
          <w:jc w:val="center"/>
        </w:trPr>
        <w:tc>
          <w:tcPr>
            <w:tcW w:w="597" w:type="dxa"/>
            <w:vMerge w:val="restart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FF0000"/>
                <w:lang w:val="id-ID"/>
              </w:rPr>
            </w:pPr>
          </w:p>
        </w:tc>
        <w:tc>
          <w:tcPr>
            <w:tcW w:w="2097" w:type="dxa"/>
            <w:vMerge w:val="restart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Program Peningkatan Keamanan dan Kenyamanan Lingkungan</w:t>
            </w: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 xml:space="preserve">Aparat Linmas yang tersedia 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t>orang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990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60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180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450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720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990</w:t>
            </w:r>
          </w:p>
        </w:tc>
      </w:tr>
      <w:tr w:rsidR="009C2BF3" w:rsidRPr="007A16C1" w:rsidTr="00CD1C2D">
        <w:trPr>
          <w:trHeight w:val="145"/>
          <w:jc w:val="center"/>
        </w:trPr>
        <w:tc>
          <w:tcPr>
            <w:tcW w:w="597" w:type="dxa"/>
            <w:vMerge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FF0000"/>
                <w:lang w:val="id-ID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Aparat linmas yang telah mengikuti pelatihan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t>orang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990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60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180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450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720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990</w:t>
            </w:r>
          </w:p>
        </w:tc>
      </w:tr>
      <w:tr w:rsidR="009C2BF3" w:rsidRPr="007A16C1" w:rsidTr="00CD1C2D">
        <w:trPr>
          <w:trHeight w:val="145"/>
          <w:jc w:val="center"/>
        </w:trPr>
        <w:tc>
          <w:tcPr>
            <w:tcW w:w="597" w:type="dxa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FF0000"/>
                <w:lang w:val="id-ID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C2BF3" w:rsidRPr="007A16C1" w:rsidTr="00CD1C2D">
        <w:trPr>
          <w:trHeight w:val="145"/>
          <w:jc w:val="center"/>
        </w:trPr>
        <w:tc>
          <w:tcPr>
            <w:tcW w:w="597" w:type="dxa"/>
            <w:vMerge w:val="restart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097" w:type="dxa"/>
            <w:vMerge w:val="restart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Program Pemeliharaan Ketrantibmas dan Pencegahan Tindakan Kriminal</w:t>
            </w: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Operasi Gabungan dengan aparat keamanan dan instansi terkait lainnya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t>Frekuensi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</w:tr>
      <w:tr w:rsidR="009C2BF3" w:rsidRPr="007A16C1" w:rsidTr="00CD1C2D">
        <w:trPr>
          <w:trHeight w:val="488"/>
          <w:jc w:val="center"/>
        </w:trPr>
        <w:tc>
          <w:tcPr>
            <w:tcW w:w="597" w:type="dxa"/>
            <w:vMerge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FF0000"/>
                <w:lang w:val="id-ID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Jumlah Kasus yang ditangani oleh PPNS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t>Kasus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45</w:t>
            </w:r>
          </w:p>
        </w:tc>
      </w:tr>
      <w:tr w:rsidR="009C2BF3" w:rsidRPr="007A16C1" w:rsidTr="00CD1C2D">
        <w:trPr>
          <w:trHeight w:val="145"/>
          <w:jc w:val="center"/>
        </w:trPr>
        <w:tc>
          <w:tcPr>
            <w:tcW w:w="597" w:type="dxa"/>
            <w:vMerge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FF0000"/>
                <w:lang w:val="id-ID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Pengamanan Pemilu 2019</w:t>
            </w:r>
          </w:p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(Pemilu Legislatif dan Pilpres)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t>Orang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197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917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917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9C2BF3" w:rsidRPr="007A16C1" w:rsidTr="00CD1C2D">
        <w:trPr>
          <w:trHeight w:val="145"/>
          <w:jc w:val="center"/>
        </w:trPr>
        <w:tc>
          <w:tcPr>
            <w:tcW w:w="597" w:type="dxa"/>
            <w:vMerge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FF0000"/>
                <w:lang w:val="id-ID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Patroli  Wilayah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t>Kali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360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1080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360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360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720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1080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1080</w:t>
            </w:r>
          </w:p>
        </w:tc>
      </w:tr>
      <w:tr w:rsidR="009C2BF3" w:rsidRPr="007A16C1" w:rsidTr="00CD1C2D">
        <w:trPr>
          <w:trHeight w:val="145"/>
          <w:jc w:val="center"/>
        </w:trPr>
        <w:tc>
          <w:tcPr>
            <w:tcW w:w="597" w:type="dxa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id-ID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Program Kemitraan pengembangan wawasan kebangsaan</w:t>
            </w:r>
          </w:p>
        </w:tc>
        <w:tc>
          <w:tcPr>
            <w:tcW w:w="2409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Pelaksanaan Kirab Pataka</w:t>
            </w:r>
          </w:p>
        </w:tc>
        <w:tc>
          <w:tcPr>
            <w:tcW w:w="1134" w:type="dxa"/>
            <w:shd w:val="clear" w:color="auto" w:fill="FFFFFF" w:themeFill="background1"/>
          </w:tcPr>
          <w:p w:rsidR="009C2BF3" w:rsidRPr="007A16C1" w:rsidRDefault="009C2BF3" w:rsidP="00CD1C2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iCs/>
                <w:color w:val="000000" w:themeColor="text1"/>
              </w:rPr>
              <w:t>Kegiatan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C2BF3" w:rsidRPr="007A16C1" w:rsidRDefault="009C2BF3" w:rsidP="00CD1C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A16C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:rsidR="009C2BF3" w:rsidRPr="009304B8" w:rsidRDefault="009C2BF3" w:rsidP="009C2BF3">
      <w:pPr>
        <w:rPr>
          <w:rFonts w:cstheme="minorHAnsi"/>
          <w:sz w:val="24"/>
          <w:szCs w:val="24"/>
        </w:rPr>
      </w:pPr>
    </w:p>
    <w:p w:rsidR="009C2BF3" w:rsidRPr="007D1DC6" w:rsidRDefault="009C2BF3" w:rsidP="007D1DC6">
      <w:pPr>
        <w:spacing w:after="120" w:line="240" w:lineRule="auto"/>
        <w:rPr>
          <w:b/>
          <w:sz w:val="24"/>
          <w:szCs w:val="24"/>
        </w:rPr>
      </w:pPr>
    </w:p>
    <w:sectPr w:rsidR="009C2BF3" w:rsidRPr="007D1DC6" w:rsidSect="009C2BF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DBF" w:rsidRDefault="00650DBF" w:rsidP="007A16C1">
      <w:pPr>
        <w:spacing w:after="0" w:line="240" w:lineRule="auto"/>
      </w:pPr>
      <w:r>
        <w:separator/>
      </w:r>
    </w:p>
  </w:endnote>
  <w:endnote w:type="continuationSeparator" w:id="1">
    <w:p w:rsidR="00650DBF" w:rsidRDefault="00650DBF" w:rsidP="007A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C1" w:rsidRDefault="007A16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C1" w:rsidRDefault="007A16C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Brush Script MT" w:hAnsi="Brush Script MT"/>
      </w:rPr>
      <w:t xml:space="preserve">                                                            </w:t>
    </w:r>
    <w:r w:rsidRPr="007A16C1">
      <w:rPr>
        <w:rFonts w:ascii="Brush Script MT" w:hAnsi="Brush Script MT"/>
      </w:rPr>
      <w:t>Rencana strategis Satpol PP Kabupaten Sumbawa 2016-2021</w:t>
    </w:r>
    <w:r w:rsidRPr="007A16C1">
      <w:rPr>
        <w:rFonts w:ascii="Brush Script MT" w:hAnsi="Brush Script MT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Pr="007A16C1">
        <w:rPr>
          <w:rFonts w:asciiTheme="majorHAnsi" w:hAnsiTheme="majorHAnsi"/>
          <w:noProof/>
        </w:rPr>
        <w:t>100</w:t>
      </w:r>
    </w:fldSimple>
  </w:p>
  <w:p w:rsidR="007A16C1" w:rsidRDefault="007A16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C1" w:rsidRDefault="007A16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DBF" w:rsidRDefault="00650DBF" w:rsidP="007A16C1">
      <w:pPr>
        <w:spacing w:after="0" w:line="240" w:lineRule="auto"/>
      </w:pPr>
      <w:r>
        <w:separator/>
      </w:r>
    </w:p>
  </w:footnote>
  <w:footnote w:type="continuationSeparator" w:id="1">
    <w:p w:rsidR="00650DBF" w:rsidRDefault="00650DBF" w:rsidP="007A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C1" w:rsidRDefault="007A16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C1" w:rsidRDefault="007A16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C1" w:rsidRDefault="007A16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CDC"/>
    <w:multiLevelType w:val="hybridMultilevel"/>
    <w:tmpl w:val="88BE4A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2074469C">
      <w:start w:val="2"/>
      <w:numFmt w:val="bullet"/>
      <w:lvlText w:val="-"/>
      <w:lvlJc w:val="left"/>
      <w:pPr>
        <w:ind w:left="1440" w:hanging="360"/>
      </w:pPr>
      <w:rPr>
        <w:rFonts w:ascii="Candara" w:eastAsia="Times New Roman" w:hAnsi="Candara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DC6"/>
    <w:rsid w:val="00091859"/>
    <w:rsid w:val="001105F3"/>
    <w:rsid w:val="0028295B"/>
    <w:rsid w:val="00304067"/>
    <w:rsid w:val="003658E2"/>
    <w:rsid w:val="00407523"/>
    <w:rsid w:val="005A2E24"/>
    <w:rsid w:val="00650DBF"/>
    <w:rsid w:val="007A16C1"/>
    <w:rsid w:val="007D1DC6"/>
    <w:rsid w:val="00864636"/>
    <w:rsid w:val="009C2BF3"/>
    <w:rsid w:val="00FB39BB"/>
    <w:rsid w:val="00FB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23"/>
  </w:style>
  <w:style w:type="paragraph" w:styleId="Heading1">
    <w:name w:val="heading 1"/>
    <w:basedOn w:val="Normal"/>
    <w:next w:val="Normal"/>
    <w:link w:val="Heading1Char"/>
    <w:uiPriority w:val="9"/>
    <w:qFormat/>
    <w:rsid w:val="00407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7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5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5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5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5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5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7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5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5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5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5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5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5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75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7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5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5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07523"/>
    <w:rPr>
      <w:b/>
      <w:bCs/>
    </w:rPr>
  </w:style>
  <w:style w:type="character" w:styleId="Emphasis">
    <w:name w:val="Emphasis"/>
    <w:uiPriority w:val="20"/>
    <w:qFormat/>
    <w:rsid w:val="0040752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075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07523"/>
  </w:style>
  <w:style w:type="paragraph" w:styleId="ListParagraph">
    <w:name w:val="List Paragraph"/>
    <w:basedOn w:val="Normal"/>
    <w:link w:val="ListParagraphChar"/>
    <w:uiPriority w:val="34"/>
    <w:qFormat/>
    <w:rsid w:val="004075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75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75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5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52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0752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0752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0752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0752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75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7523"/>
    <w:pPr>
      <w:outlineLvl w:val="9"/>
    </w:pPr>
  </w:style>
  <w:style w:type="table" w:styleId="TableGrid">
    <w:name w:val="Table Grid"/>
    <w:basedOn w:val="TableNormal"/>
    <w:uiPriority w:val="59"/>
    <w:rsid w:val="007D1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91859"/>
  </w:style>
  <w:style w:type="character" w:customStyle="1" w:styleId="Bodytext95">
    <w:name w:val="Body text (9)5"/>
    <w:basedOn w:val="DefaultParagraphFont"/>
    <w:uiPriority w:val="99"/>
    <w:rsid w:val="00091859"/>
    <w:rPr>
      <w:rFonts w:ascii="Arial Narrow" w:hAnsi="Arial Narrow" w:cs="Arial Narrow"/>
      <w:spacing w:val="0"/>
      <w:sz w:val="23"/>
      <w:szCs w:val="23"/>
    </w:rPr>
  </w:style>
  <w:style w:type="character" w:customStyle="1" w:styleId="Bodytext9Italic">
    <w:name w:val="Body text (9) + Italic"/>
    <w:basedOn w:val="DefaultParagraphFont"/>
    <w:uiPriority w:val="99"/>
    <w:rsid w:val="00091859"/>
    <w:rPr>
      <w:rFonts w:ascii="Arial Narrow" w:hAnsi="Arial Narrow" w:cs="Arial Narrow"/>
      <w:i/>
      <w:iCs/>
      <w:spacing w:val="0"/>
      <w:w w:val="100"/>
      <w:sz w:val="23"/>
      <w:szCs w:val="23"/>
    </w:rPr>
  </w:style>
  <w:style w:type="table" w:styleId="TableElegant">
    <w:name w:val="Table Elegant"/>
    <w:basedOn w:val="TableNormal"/>
    <w:uiPriority w:val="99"/>
    <w:rsid w:val="009C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SG" w:eastAsia="en-SG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A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6C1"/>
  </w:style>
  <w:style w:type="paragraph" w:styleId="Footer">
    <w:name w:val="footer"/>
    <w:basedOn w:val="Normal"/>
    <w:link w:val="FooterChar"/>
    <w:uiPriority w:val="99"/>
    <w:unhideWhenUsed/>
    <w:rsid w:val="007A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C1"/>
  </w:style>
  <w:style w:type="paragraph" w:styleId="BalloonText">
    <w:name w:val="Balloon Text"/>
    <w:basedOn w:val="Normal"/>
    <w:link w:val="BalloonTextChar"/>
    <w:uiPriority w:val="99"/>
    <w:semiHidden/>
    <w:unhideWhenUsed/>
    <w:rsid w:val="007A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2018-09-25T14:24:00Z</cp:lastPrinted>
  <dcterms:created xsi:type="dcterms:W3CDTF">2018-08-01T12:17:00Z</dcterms:created>
  <dcterms:modified xsi:type="dcterms:W3CDTF">2018-09-25T14:25:00Z</dcterms:modified>
</cp:coreProperties>
</file>